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8E02A0" w:rsidP="002A46BA">
      <w:pPr>
        <w:pStyle w:val="berschrift1"/>
      </w:pPr>
      <w:r>
        <w:t xml:space="preserve">Infoblatt: </w:t>
      </w:r>
      <w:bookmarkStart w:id="0" w:name="_GoBack"/>
      <w:bookmarkEnd w:id="0"/>
      <w:r w:rsidR="00B70239">
        <w:t xml:space="preserve">Das sollten </w:t>
      </w:r>
      <w:r w:rsidR="002C2436">
        <w:t xml:space="preserve">Sie </w:t>
      </w:r>
      <w:r w:rsidR="009D5B08">
        <w:t>bei</w:t>
      </w:r>
      <w:r w:rsidR="002C2436">
        <w:t xml:space="preserve"> Präsentationen beachten</w:t>
      </w:r>
      <w:r w:rsidR="00B70239">
        <w:t>!</w:t>
      </w:r>
    </w:p>
    <w:p w:rsidR="00027595" w:rsidRPr="00027595" w:rsidRDefault="00027595" w:rsidP="00027595">
      <w:r>
        <w:t>Wenn Sie sich auf eine Präsentation vorbereiten bzw. eine Folienpräsentation erstellen, gibt es einige Punkte, die Sie beachten bzw. einige Tipps, die Sie umsetzten sollten.</w:t>
      </w:r>
    </w:p>
    <w:p w:rsidR="00C970FE" w:rsidRDefault="000E38CE" w:rsidP="008D0B06">
      <w:pPr>
        <w:pStyle w:val="berschrift2"/>
      </w:pPr>
      <w:r>
        <w:t>Gute Vorbereitung</w:t>
      </w:r>
    </w:p>
    <w:p w:rsidR="00895CE9" w:rsidRDefault="00E148DD" w:rsidP="00895CE9">
      <w:r>
        <w:t xml:space="preserve">Grundsätzlich gilt: </w:t>
      </w:r>
      <w:r w:rsidR="0090696B">
        <w:t>Je besser die Vorbereitung, desto besser die Präsentation</w:t>
      </w:r>
      <w:r>
        <w:t xml:space="preserve">! Das betrifft nicht nur die Erstellung der Folien, sondern auch, dass Sie sich mit dem Thema auskennen. </w:t>
      </w:r>
    </w:p>
    <w:p w:rsidR="00E148DD" w:rsidRDefault="00E148DD" w:rsidP="00895CE9">
      <w:r>
        <w:t>Sie sollten einschätzen können, wie lange Sie mit der Präsentation brauchen werden, und die Präsentation vorher ein paarmal für sich selbst,</w:t>
      </w:r>
      <w:r w:rsidR="00172536">
        <w:t xml:space="preserve"> vielleicht</w:t>
      </w:r>
      <w:r>
        <w:t xml:space="preserve"> vor einem Spiegel, </w:t>
      </w:r>
      <w:r w:rsidR="00172536">
        <w:t>üben.</w:t>
      </w:r>
    </w:p>
    <w:p w:rsidR="00A67C18" w:rsidRPr="00895CE9" w:rsidRDefault="00A67C18" w:rsidP="00A67C18">
      <w:r>
        <w:t xml:space="preserve">Sie können bei der Präsentation Kärtchen verwenden, sollten aber möglichst frei sprechen können. </w:t>
      </w:r>
    </w:p>
    <w:p w:rsidR="000E38CE" w:rsidRPr="00C970FE" w:rsidRDefault="00A67C18" w:rsidP="00C970FE">
      <w:r>
        <w:t xml:space="preserve">Keine Angst: Das gelingt sicher nicht beim ersten Mal auf Anhieb! </w:t>
      </w:r>
      <w:r w:rsidR="00242226">
        <w:t>Und wahrscheinlich hat jede*r Präsentator*in auch trotz viel Übung auch immer noch Lampenfieber</w:t>
      </w:r>
      <w:r w:rsidR="005E479A">
        <w:t xml:space="preserve"> …</w:t>
      </w:r>
    </w:p>
    <w:p w:rsidR="00C970FE" w:rsidRDefault="00F421F7" w:rsidP="008D0B06">
      <w:pPr>
        <w:pStyle w:val="berschrift2"/>
      </w:pPr>
      <w:r>
        <w:t>Aufbau der Präsentation</w:t>
      </w:r>
    </w:p>
    <w:p w:rsidR="00F421F7" w:rsidRDefault="00F421F7" w:rsidP="00C970FE">
      <w:r>
        <w:t xml:space="preserve">Jede Präsentation sollte </w:t>
      </w:r>
      <w:r w:rsidR="00C65F0B">
        <w:t>so aufgebaut sein</w:t>
      </w:r>
      <w:r>
        <w:t>, d</w:t>
      </w:r>
      <w:r w:rsidR="00C65F0B">
        <w:t>ass es</w:t>
      </w:r>
      <w:r>
        <w:t xml:space="preserve"> für die Zuhörer*innen nachvollziehbar ist. </w:t>
      </w:r>
      <w:r w:rsidR="008D0B06">
        <w:t>Sagen Sie, was die Zuhörer*innen erwartet!</w:t>
      </w:r>
    </w:p>
    <w:p w:rsidR="00F421F7" w:rsidRDefault="00F421F7" w:rsidP="00C970FE">
      <w:r>
        <w:t xml:space="preserve">Sie können </w:t>
      </w:r>
      <w:r w:rsidR="00EB4EE9">
        <w:t>etwa</w:t>
      </w:r>
      <w:r>
        <w:t xml:space="preserve"> zu Beginn der Präsentation eine eigene Folie einfügen, die </w:t>
      </w:r>
      <w:r w:rsidR="007C264B">
        <w:t>die wichtigsten Punkte/Inhalte der Präsentation auflistet.</w:t>
      </w:r>
    </w:p>
    <w:p w:rsidR="007C264B" w:rsidRPr="00C970FE" w:rsidRDefault="000F7D9B" w:rsidP="008D0B06">
      <w:pPr>
        <w:pStyle w:val="berschrift2"/>
      </w:pPr>
      <w:r>
        <w:t>Folien nicht zu vollschreiben</w:t>
      </w:r>
    </w:p>
    <w:p w:rsidR="000F7D9B" w:rsidRDefault="004B4B41" w:rsidP="000F7D9B">
      <w:r>
        <w:t xml:space="preserve">Zuhörer*innen sollen schnell erfassen (lesen) können, was </w:t>
      </w:r>
      <w:r w:rsidR="000D0895">
        <w:t xml:space="preserve">auf den Folien </w:t>
      </w:r>
      <w:r>
        <w:t xml:space="preserve">zu sehen ist. </w:t>
      </w:r>
      <w:r w:rsidR="000D0895">
        <w:t>Daher sollen die</w:t>
      </w:r>
      <w:r>
        <w:t xml:space="preserve"> </w:t>
      </w:r>
      <w:r w:rsidR="000D0895" w:rsidRPr="000F7D9B">
        <w:t>Folien übersichtlich gestaltet</w:t>
      </w:r>
      <w:r w:rsidR="000D0895">
        <w:t xml:space="preserve"> sein und sich auf das Wichtigste beschränken.</w:t>
      </w:r>
      <w:r w:rsidR="004F425A">
        <w:t xml:space="preserve"> Es gilt:</w:t>
      </w:r>
    </w:p>
    <w:p w:rsidR="004F425A" w:rsidRDefault="004F425A" w:rsidP="004F425A">
      <w:pPr>
        <w:pStyle w:val="Listenabsatz"/>
        <w:numPr>
          <w:ilvl w:val="0"/>
          <w:numId w:val="24"/>
        </w:numPr>
      </w:pPr>
      <w:r>
        <w:t xml:space="preserve">Eine gute Folie ist unvollständig: das Wichtigste soll in Stichworte gefasst werden. </w:t>
      </w:r>
    </w:p>
    <w:p w:rsidR="00D93F2C" w:rsidRDefault="00D93F2C" w:rsidP="004F425A">
      <w:pPr>
        <w:pStyle w:val="Listenabsatz"/>
        <w:numPr>
          <w:ilvl w:val="0"/>
          <w:numId w:val="24"/>
        </w:numPr>
      </w:pPr>
      <w:r>
        <w:t>Sechs Wörter pro Zeile</w:t>
      </w:r>
      <w:r w:rsidR="007B67FA">
        <w:t xml:space="preserve"> und</w:t>
      </w:r>
      <w:r>
        <w:t xml:space="preserve"> sechs Zeilen pro Folie sollten das Maximum sein.</w:t>
      </w:r>
    </w:p>
    <w:p w:rsidR="00D93F2C" w:rsidRDefault="00D93F2C" w:rsidP="004F425A">
      <w:pPr>
        <w:pStyle w:val="Listenabsatz"/>
        <w:numPr>
          <w:ilvl w:val="0"/>
          <w:numId w:val="24"/>
        </w:numPr>
      </w:pPr>
      <w:r>
        <w:lastRenderedPageBreak/>
        <w:t>Satzzeichen, lange Sätze und Wörter sollten vermieden werden.</w:t>
      </w:r>
    </w:p>
    <w:p w:rsidR="007917C4" w:rsidRDefault="007917C4" w:rsidP="007917C4"/>
    <w:p w:rsidR="000F7D9B" w:rsidRDefault="000F7D9B" w:rsidP="002717E6">
      <w:pPr>
        <w:pStyle w:val="berschrift2"/>
      </w:pPr>
      <w:r w:rsidRPr="00B26DA3">
        <w:t>Große Schriften</w:t>
      </w:r>
    </w:p>
    <w:p w:rsidR="003B3AB6" w:rsidRDefault="003B3AB6" w:rsidP="003B3AB6">
      <w:r>
        <w:t>Große Schriften sind in Präsentationen sehr wichtig</w:t>
      </w:r>
      <w:r w:rsidR="00293793">
        <w:t>, damit die Folien auch von Zuhörer*innen, die ganz hinten sitzen, gut gelesen werden können</w:t>
      </w:r>
      <w:r>
        <w:t>:</w:t>
      </w:r>
    </w:p>
    <w:p w:rsidR="003B3AB6" w:rsidRDefault="003B3AB6" w:rsidP="003B3AB6">
      <w:pPr>
        <w:pStyle w:val="Listenabsatz"/>
        <w:numPr>
          <w:ilvl w:val="0"/>
          <w:numId w:val="24"/>
        </w:numPr>
      </w:pPr>
      <w:r w:rsidRPr="003B3AB6">
        <w:t>Überschrift</w:t>
      </w:r>
      <w:r>
        <w:t>en</w:t>
      </w:r>
      <w:r w:rsidRPr="003B3AB6">
        <w:t xml:space="preserve"> sollte</w:t>
      </w:r>
      <w:r>
        <w:t>n</w:t>
      </w:r>
      <w:r w:rsidRPr="003B3AB6">
        <w:t xml:space="preserve"> zwischen </w:t>
      </w:r>
      <w:r>
        <w:t xml:space="preserve">Schriftgröße </w:t>
      </w:r>
      <w:r w:rsidRPr="003B3AB6">
        <w:t xml:space="preserve">40 und 48 Punkt </w:t>
      </w:r>
      <w:r>
        <w:t>haben</w:t>
      </w:r>
      <w:r w:rsidRPr="003B3AB6">
        <w:t>,</w:t>
      </w:r>
    </w:p>
    <w:p w:rsidR="003B3AB6" w:rsidRDefault="00297769" w:rsidP="003B3AB6">
      <w:pPr>
        <w:pStyle w:val="Listenabsatz"/>
        <w:numPr>
          <w:ilvl w:val="0"/>
          <w:numId w:val="24"/>
        </w:numPr>
      </w:pPr>
      <w:r>
        <w:t>der Text auf Folien sollte zwischen Schriftgröße 24 und 36 haben,</w:t>
      </w:r>
    </w:p>
    <w:p w:rsidR="00297769" w:rsidRPr="003B3AB6" w:rsidRDefault="00297769" w:rsidP="003B3AB6">
      <w:pPr>
        <w:pStyle w:val="Listenabsatz"/>
        <w:numPr>
          <w:ilvl w:val="0"/>
          <w:numId w:val="24"/>
        </w:numPr>
      </w:pPr>
      <w:r>
        <w:t>und der kleinste Schriftgrad sollte nicht unter Schriftgröße 16 sein (etwa bei Fußzeilen, Seitennummern etc.).</w:t>
      </w:r>
    </w:p>
    <w:p w:rsidR="003B3AB6" w:rsidRDefault="009038FA" w:rsidP="003B3AB6">
      <w:r>
        <w:t>Zwischen Überschrift und Text sollte es einen deutlich sichtbaren Unterschied der Schriftgröße geben.</w:t>
      </w:r>
    </w:p>
    <w:p w:rsidR="009038FA" w:rsidRPr="003B3AB6" w:rsidRDefault="009038FA" w:rsidP="003B3AB6">
      <w:r>
        <w:t>In der gesamten Präsentation sollten die gleichen Schriftgrößen</w:t>
      </w:r>
      <w:r w:rsidR="00E02F4C">
        <w:t xml:space="preserve"> und Schriftarten</w:t>
      </w:r>
      <w:r>
        <w:t xml:space="preserve"> verwendet werden.</w:t>
      </w:r>
    </w:p>
    <w:p w:rsidR="001563F9" w:rsidRDefault="0095511B" w:rsidP="002717E6">
      <w:pPr>
        <w:pStyle w:val="berschrift2"/>
      </w:pPr>
      <w:r>
        <w:t>Auswahl der Farben</w:t>
      </w:r>
    </w:p>
    <w:p w:rsidR="0095511B" w:rsidRDefault="0095511B" w:rsidP="0095511B">
      <w:r>
        <w:t>Auch bei der Auswahl der Farben für die Gestaltung gibt es ein paar Dinge zu beachten:</w:t>
      </w:r>
    </w:p>
    <w:p w:rsidR="0095511B" w:rsidRPr="006B6B02" w:rsidRDefault="0095511B" w:rsidP="006B6B02">
      <w:pPr>
        <w:pStyle w:val="Listenabsatz"/>
        <w:numPr>
          <w:ilvl w:val="0"/>
          <w:numId w:val="26"/>
        </w:numPr>
        <w:rPr>
          <w:rFonts w:eastAsia="Arial"/>
        </w:rPr>
      </w:pPr>
      <w:r w:rsidRPr="006B6B02">
        <w:rPr>
          <w:rFonts w:eastAsia="Arial"/>
        </w:rPr>
        <w:t>Verwenden Sie nur wenige ausgewählte Farben</w:t>
      </w:r>
      <w:r w:rsidR="00EB32EF">
        <w:rPr>
          <w:rFonts w:eastAsia="Arial"/>
        </w:rPr>
        <w:t xml:space="preserve"> – maximal </w:t>
      </w:r>
      <w:r w:rsidR="00EB32EF" w:rsidRPr="006B6B02">
        <w:rPr>
          <w:rFonts w:eastAsia="Arial"/>
        </w:rPr>
        <w:t>zwei bis vier</w:t>
      </w:r>
      <w:r w:rsidRPr="006B6B02">
        <w:rPr>
          <w:rFonts w:eastAsia="Arial"/>
        </w:rPr>
        <w:t>.</w:t>
      </w:r>
    </w:p>
    <w:p w:rsidR="006B6B02" w:rsidRDefault="006B6B02" w:rsidP="006B6B02">
      <w:pPr>
        <w:pStyle w:val="Listenabsatz"/>
        <w:numPr>
          <w:ilvl w:val="0"/>
          <w:numId w:val="26"/>
        </w:numPr>
        <w:rPr>
          <w:rFonts w:eastAsia="Arial"/>
        </w:rPr>
      </w:pPr>
      <w:r w:rsidRPr="006B6B02">
        <w:rPr>
          <w:rFonts w:eastAsia="Arial"/>
        </w:rPr>
        <w:t xml:space="preserve">Die </w:t>
      </w:r>
      <w:r>
        <w:rPr>
          <w:rFonts w:eastAsia="Arial"/>
        </w:rPr>
        <w:t>Farben sollen so gewählt werden, dass die Folien trotzdem einen hohen Kontrast haben</w:t>
      </w:r>
      <w:r w:rsidR="000C5613">
        <w:rPr>
          <w:rFonts w:eastAsia="Arial"/>
        </w:rPr>
        <w:t xml:space="preserve"> und gut lesbar bleiben</w:t>
      </w:r>
      <w:r>
        <w:rPr>
          <w:rFonts w:eastAsia="Arial"/>
        </w:rPr>
        <w:t>.</w:t>
      </w:r>
      <w:r w:rsidR="00E91DDA">
        <w:rPr>
          <w:rFonts w:eastAsia="Arial"/>
        </w:rPr>
        <w:t xml:space="preserve"> Das ist vor allem für Menschen mit einer Sehbeeinträchtigung wichtig.</w:t>
      </w:r>
      <w:r>
        <w:rPr>
          <w:rFonts w:eastAsia="Arial"/>
        </w:rPr>
        <w:t xml:space="preserve"> </w:t>
      </w:r>
      <w:r w:rsidR="00A24C57">
        <w:rPr>
          <w:rFonts w:eastAsia="Arial"/>
        </w:rPr>
        <w:br/>
      </w:r>
      <w:r>
        <w:rPr>
          <w:rFonts w:eastAsia="Arial"/>
        </w:rPr>
        <w:t>Beispielsweise ist dunkelgrüne Schrift auf hellgrünem Hintergrund nur sehr schwer zu lesen</w:t>
      </w:r>
      <w:r w:rsidR="001173AA">
        <w:rPr>
          <w:rFonts w:eastAsia="Arial"/>
        </w:rPr>
        <w:t>!</w:t>
      </w:r>
      <w:r w:rsidR="00A24C57">
        <w:rPr>
          <w:rFonts w:eastAsia="Arial"/>
        </w:rPr>
        <w:br/>
        <w:t>Grundsätzlich gilt: dunkle Schrift auf hellem Hintergrund!</w:t>
      </w:r>
      <w:r w:rsidR="00861E04">
        <w:rPr>
          <w:rFonts w:eastAsia="Arial"/>
        </w:rPr>
        <w:t xml:space="preserve"> Das ist am leichtesten lesbar.</w:t>
      </w:r>
    </w:p>
    <w:p w:rsidR="00DA2CD0" w:rsidRDefault="00DF55B6" w:rsidP="00DA2CD0">
      <w:pPr>
        <w:pStyle w:val="Listenabsatz"/>
        <w:numPr>
          <w:ilvl w:val="0"/>
          <w:numId w:val="26"/>
        </w:numPr>
        <w:rPr>
          <w:rFonts w:eastAsia="Arial"/>
        </w:rPr>
      </w:pPr>
      <w:r>
        <w:rPr>
          <w:rFonts w:eastAsia="Arial"/>
        </w:rPr>
        <w:t xml:space="preserve">Sie können durchaus kräftige Farben für einzelne Gestaltungselemente </w:t>
      </w:r>
      <w:r w:rsidR="00C754B4">
        <w:rPr>
          <w:rFonts w:eastAsia="Arial"/>
        </w:rPr>
        <w:t>verwenden</w:t>
      </w:r>
      <w:r>
        <w:rPr>
          <w:rFonts w:eastAsia="Arial"/>
        </w:rPr>
        <w:t xml:space="preserve">. Aber: </w:t>
      </w:r>
      <w:r w:rsidR="00D522C4">
        <w:rPr>
          <w:rFonts w:eastAsia="Arial"/>
        </w:rPr>
        <w:t>J</w:t>
      </w:r>
      <w:r>
        <w:rPr>
          <w:rFonts w:eastAsia="Arial"/>
        </w:rPr>
        <w:t>e intensiver die Farbe, desto kleiner sollte die Fläche sein!</w:t>
      </w:r>
    </w:p>
    <w:p w:rsidR="00DA2CD0" w:rsidRPr="00DA2CD0" w:rsidRDefault="00DA2CD0" w:rsidP="00B44503">
      <w:pPr>
        <w:pStyle w:val="Listenabsatz"/>
        <w:numPr>
          <w:ilvl w:val="0"/>
          <w:numId w:val="26"/>
        </w:numPr>
        <w:rPr>
          <w:rFonts w:eastAsia="Arial"/>
        </w:rPr>
      </w:pPr>
      <w:r w:rsidRPr="00DA2CD0">
        <w:rPr>
          <w:rFonts w:eastAsia="Arial"/>
        </w:rPr>
        <w:t xml:space="preserve">Alle Folien sollten </w:t>
      </w:r>
      <w:r w:rsidRPr="000F7D9B">
        <w:t>und gleichmäßig</w:t>
      </w:r>
      <w:r>
        <w:t xml:space="preserve"> gestaltet werden.</w:t>
      </w:r>
    </w:p>
    <w:p w:rsidR="00C84186" w:rsidRPr="006B6B02" w:rsidRDefault="00C84186" w:rsidP="006B6B02">
      <w:pPr>
        <w:pStyle w:val="Listenabsatz"/>
        <w:numPr>
          <w:ilvl w:val="0"/>
          <w:numId w:val="26"/>
        </w:numPr>
        <w:rPr>
          <w:rFonts w:eastAsia="Arial"/>
        </w:rPr>
      </w:pPr>
      <w:r>
        <w:rPr>
          <w:rFonts w:eastAsia="Arial"/>
        </w:rPr>
        <w:t xml:space="preserve">Viele Programme bieten schon fertige Design-Vorlagen an. Nutzen Sie diese! Dabei können Sie sich sicher sein, dass die Farben gut zusammenpassen. </w:t>
      </w:r>
    </w:p>
    <w:p w:rsidR="004E22D5" w:rsidRDefault="004E22D5" w:rsidP="002717E6">
      <w:pPr>
        <w:pStyle w:val="berschrift2"/>
      </w:pPr>
      <w:r>
        <w:t>Animationen</w:t>
      </w:r>
    </w:p>
    <w:p w:rsidR="004E22D5" w:rsidRDefault="004E22D5" w:rsidP="0095511B">
      <w:r>
        <w:t>„Animation“ bedeutet, dass sich am Bildschirm/in der Präsentation etwas bewegt.</w:t>
      </w:r>
    </w:p>
    <w:p w:rsidR="00094FD7" w:rsidRDefault="001A2825" w:rsidP="0095511B">
      <w:r>
        <w:t xml:space="preserve">Folienübergänge sind Beispiele für Animationen in einer Präsentation. </w:t>
      </w:r>
    </w:p>
    <w:p w:rsidR="004E22D5" w:rsidRDefault="00B75BDE" w:rsidP="0095511B">
      <w:r>
        <w:lastRenderedPageBreak/>
        <w:t>Es können</w:t>
      </w:r>
      <w:r w:rsidR="00094FD7">
        <w:t xml:space="preserve"> </w:t>
      </w:r>
      <w:r w:rsidR="00EE779F">
        <w:t>aber</w:t>
      </w:r>
      <w:r>
        <w:t xml:space="preserve"> auch die Texte oder Bilder</w:t>
      </w:r>
      <w:r w:rsidR="00094FD7">
        <w:t xml:space="preserve"> erst</w:t>
      </w:r>
      <w:r>
        <w:t xml:space="preserve"> nach und nach angezeigt</w:t>
      </w:r>
      <w:r w:rsidR="00094FD7">
        <w:t xml:space="preserve"> (eingeblendet)</w:t>
      </w:r>
      <w:r>
        <w:t xml:space="preserve"> werden.</w:t>
      </w:r>
      <w:r w:rsidR="00094FD7">
        <w:t xml:space="preserve"> Das ist etwa dann nützlich, wenn Sie nicht gleich zu Beginn den gesamten Inhalt der Folie zeigen wollen.</w:t>
      </w:r>
    </w:p>
    <w:p w:rsidR="00653BF0" w:rsidRDefault="00653BF0" w:rsidP="0095511B"/>
    <w:p w:rsidR="00653BF0" w:rsidRDefault="00653BF0" w:rsidP="0095511B">
      <w:r>
        <w:t>Allerdings sollten Folienübergänge und Animationen nur sparsam verwendet werden, da sie sonst vom Inhalt ablenken.</w:t>
      </w:r>
      <w:r w:rsidR="00736025">
        <w:t xml:space="preserve"> </w:t>
      </w:r>
      <w:r>
        <w:t>Es gilt:</w:t>
      </w:r>
    </w:p>
    <w:p w:rsidR="004E22D5" w:rsidRDefault="00482B95" w:rsidP="00482B95">
      <w:pPr>
        <w:pStyle w:val="Listenabsatz"/>
        <w:numPr>
          <w:ilvl w:val="0"/>
          <w:numId w:val="26"/>
        </w:numPr>
      </w:pPr>
      <w:r>
        <w:t>Wenn Sie Folienübergänge verwenden, dann legen Sie den gleichen Übergang für die gesamte Präsentation fest</w:t>
      </w:r>
      <w:r w:rsidR="00DE25DA">
        <w:t>.</w:t>
      </w:r>
    </w:p>
    <w:p w:rsidR="00DE25DA" w:rsidRDefault="00F33AF3" w:rsidP="00482B95">
      <w:pPr>
        <w:pStyle w:val="Listenabsatz"/>
        <w:numPr>
          <w:ilvl w:val="0"/>
          <w:numId w:val="26"/>
        </w:numPr>
      </w:pPr>
      <w:r>
        <w:t>Wörter oder Buchstaben sollen nicht einzeln eingeblendet werden, das dauert zu lange. Maximal Zeile für Zeile!</w:t>
      </w:r>
    </w:p>
    <w:p w:rsidR="00BC7A8A" w:rsidRDefault="00BC7A8A" w:rsidP="00482B95">
      <w:pPr>
        <w:pStyle w:val="Listenabsatz"/>
        <w:numPr>
          <w:ilvl w:val="0"/>
          <w:numId w:val="26"/>
        </w:numPr>
      </w:pPr>
      <w:r>
        <w:t>Bitte keine Ton-Effekte verwenden: Diese können die Zuhörer*innen schnell nerven!</w:t>
      </w:r>
    </w:p>
    <w:p w:rsidR="004B5741" w:rsidRDefault="004B5741" w:rsidP="00736025">
      <w:pPr>
        <w:pStyle w:val="berschrift2"/>
      </w:pPr>
      <w:r>
        <w:t>Bilder und Fotos</w:t>
      </w:r>
    </w:p>
    <w:p w:rsidR="004E22D5" w:rsidRDefault="00142D59" w:rsidP="0095511B">
      <w:r>
        <w:t xml:space="preserve">Bilder sagen mehr als Worte – aber man </w:t>
      </w:r>
      <w:r w:rsidRPr="00B26DA3">
        <w:rPr>
          <w:rFonts w:eastAsia="Arial"/>
          <w:szCs w:val="24"/>
        </w:rPr>
        <w:t>muss sie sorgfältig auswählen</w:t>
      </w:r>
      <w:r>
        <w:rPr>
          <w:rFonts w:eastAsia="Arial"/>
          <w:szCs w:val="24"/>
        </w:rPr>
        <w:t>. Daher gilt:</w:t>
      </w:r>
    </w:p>
    <w:p w:rsidR="00142D59" w:rsidRPr="00142D59" w:rsidRDefault="00506BE2" w:rsidP="00142D59">
      <w:pPr>
        <w:pStyle w:val="Listenabsatz"/>
        <w:numPr>
          <w:ilvl w:val="0"/>
          <w:numId w:val="27"/>
        </w:numPr>
        <w:rPr>
          <w:rFonts w:eastAsia="Arial"/>
        </w:rPr>
      </w:pPr>
      <w:r>
        <w:rPr>
          <w:rFonts w:eastAsia="Arial"/>
        </w:rPr>
        <w:t>Bilder</w:t>
      </w:r>
      <w:r w:rsidR="00186F84" w:rsidRPr="00142D59">
        <w:rPr>
          <w:rFonts w:eastAsia="Arial"/>
        </w:rPr>
        <w:t xml:space="preserve"> sollten immer einen Bezug zum Inhalt haben, ihn unterstützen und </w:t>
      </w:r>
      <w:r w:rsidR="00617E0A" w:rsidRPr="00142D59">
        <w:rPr>
          <w:rFonts w:eastAsia="Arial"/>
        </w:rPr>
        <w:t>veranschaulichen</w:t>
      </w:r>
      <w:r w:rsidR="00186F84" w:rsidRPr="00142D59">
        <w:rPr>
          <w:rFonts w:eastAsia="Arial"/>
        </w:rPr>
        <w:t xml:space="preserve">. </w:t>
      </w:r>
    </w:p>
    <w:p w:rsidR="001F6B00" w:rsidRDefault="00186F84" w:rsidP="00142D59">
      <w:pPr>
        <w:pStyle w:val="Listenabsatz"/>
        <w:numPr>
          <w:ilvl w:val="0"/>
          <w:numId w:val="27"/>
        </w:numPr>
        <w:rPr>
          <w:rFonts w:eastAsia="Arial"/>
        </w:rPr>
      </w:pPr>
      <w:r w:rsidRPr="00142D59">
        <w:rPr>
          <w:rFonts w:eastAsia="Arial"/>
        </w:rPr>
        <w:t xml:space="preserve">Vorsicht mit ironischen oder humorvollen Bildern: </w:t>
      </w:r>
      <w:r w:rsidR="001F6B00">
        <w:rPr>
          <w:rFonts w:eastAsia="Arial"/>
        </w:rPr>
        <w:t xml:space="preserve">Solche können möglicherweise falsch aufgefasst werden, wenn die Zuhörer*innen nicht Ihren Sinn für Humor teilen! </w:t>
      </w:r>
    </w:p>
    <w:p w:rsidR="00186F84" w:rsidRPr="00142D59" w:rsidRDefault="00186F84" w:rsidP="00142D59">
      <w:pPr>
        <w:pStyle w:val="Listenabsatz"/>
        <w:numPr>
          <w:ilvl w:val="0"/>
          <w:numId w:val="27"/>
        </w:numPr>
        <w:rPr>
          <w:rFonts w:eastAsia="Arial"/>
        </w:rPr>
      </w:pPr>
      <w:r w:rsidRPr="00142D59">
        <w:rPr>
          <w:rFonts w:eastAsia="Arial"/>
        </w:rPr>
        <w:t xml:space="preserve">Und noch ein Hinweis: </w:t>
      </w:r>
      <w:r w:rsidRPr="00DE3615">
        <w:rPr>
          <w:rFonts w:eastAsia="Arial"/>
        </w:rPr>
        <w:t>Die Rechte der verwendeten Bilder</w:t>
      </w:r>
      <w:r w:rsidRPr="00142D59">
        <w:rPr>
          <w:rFonts w:eastAsia="Arial"/>
        </w:rPr>
        <w:t xml:space="preserve"> müssen geklärt sein. </w:t>
      </w:r>
      <w:r w:rsidR="00384CF8">
        <w:rPr>
          <w:rFonts w:eastAsia="Arial"/>
        </w:rPr>
        <w:t>Verwenden Sie am besten lizenzfreie Bilder oder Fotos, die Sie selbst gemacht haben!</w:t>
      </w:r>
    </w:p>
    <w:p w:rsidR="001563F9" w:rsidRDefault="001563F9" w:rsidP="00736025">
      <w:pPr>
        <w:pStyle w:val="berschrift2"/>
      </w:pPr>
      <w:r w:rsidRPr="001563F9">
        <w:t>Zahlen grafisch aufbereiten</w:t>
      </w:r>
    </w:p>
    <w:p w:rsidR="001563F9" w:rsidRDefault="001563F9" w:rsidP="001563F9">
      <w:r>
        <w:t>Wenn Sie viele Zahlen präsentieren müssen, sollten diese in einer übersichtliche Grafik dargestellt werden. So sind die Zahlen für die Zuhörer*innen leichter lesbar und verständlich. Als Beispiel:</w:t>
      </w:r>
    </w:p>
    <w:p w:rsidR="001563F9" w:rsidRDefault="00736025" w:rsidP="001563F9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23ECE1C">
            <wp:simplePos x="0" y="0"/>
            <wp:positionH relativeFrom="column">
              <wp:posOffset>2696210</wp:posOffset>
            </wp:positionH>
            <wp:positionV relativeFrom="paragraph">
              <wp:posOffset>377825</wp:posOffset>
            </wp:positionV>
            <wp:extent cx="3002280" cy="2049780"/>
            <wp:effectExtent l="0" t="0" r="7620" b="7620"/>
            <wp:wrapThrough wrapText="bothSides">
              <wp:wrapPolygon edited="0">
                <wp:start x="0" y="0"/>
                <wp:lineTo x="0" y="21480"/>
                <wp:lineTo x="21518" y="21480"/>
                <wp:lineTo x="21518" y="0"/>
                <wp:lineTo x="0" y="0"/>
              </wp:wrapPolygon>
            </wp:wrapThrough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F5AA47C1-4B50-4868-B97D-D8572EC5A0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326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2006"/>
      </w:tblGrid>
      <w:tr w:rsidR="001563F9" w:rsidRPr="001563F9" w:rsidTr="001F5A42">
        <w:trPr>
          <w:trHeight w:val="240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  <w:b/>
              </w:rPr>
            </w:pPr>
            <w:r w:rsidRPr="001563F9">
              <w:rPr>
                <w:rFonts w:eastAsia="Arial"/>
                <w:b/>
              </w:rPr>
              <w:t>Jahr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  <w:b/>
              </w:rPr>
            </w:pPr>
            <w:r w:rsidRPr="001563F9">
              <w:rPr>
                <w:rFonts w:eastAsia="Arial"/>
                <w:b/>
              </w:rPr>
              <w:t xml:space="preserve">Anzahl </w:t>
            </w:r>
            <w:r w:rsidR="001F5A42">
              <w:rPr>
                <w:rFonts w:eastAsia="Arial"/>
                <w:b/>
              </w:rPr>
              <w:br/>
            </w:r>
            <w:r w:rsidRPr="001563F9">
              <w:rPr>
                <w:rFonts w:eastAsia="Arial"/>
                <w:b/>
              </w:rPr>
              <w:t>Teilnehmende</w:t>
            </w:r>
          </w:p>
        </w:tc>
      </w:tr>
      <w:tr w:rsidR="001563F9" w:rsidRPr="001563F9" w:rsidTr="001F5A42">
        <w:trPr>
          <w:trHeight w:val="240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2010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76</w:t>
            </w:r>
          </w:p>
        </w:tc>
      </w:tr>
      <w:tr w:rsidR="001563F9" w:rsidRPr="001563F9" w:rsidTr="001F5A42">
        <w:trPr>
          <w:trHeight w:val="254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2011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82</w:t>
            </w:r>
          </w:p>
        </w:tc>
      </w:tr>
      <w:tr w:rsidR="001563F9" w:rsidRPr="001563F9" w:rsidTr="001F5A42">
        <w:trPr>
          <w:trHeight w:val="240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2012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105</w:t>
            </w:r>
          </w:p>
        </w:tc>
      </w:tr>
      <w:tr w:rsidR="001563F9" w:rsidRPr="001563F9" w:rsidTr="001F5A42">
        <w:trPr>
          <w:trHeight w:val="240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2013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119</w:t>
            </w:r>
          </w:p>
        </w:tc>
      </w:tr>
      <w:tr w:rsidR="001563F9" w:rsidRPr="001563F9" w:rsidTr="001F5A42">
        <w:trPr>
          <w:trHeight w:val="240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2014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124</w:t>
            </w:r>
          </w:p>
        </w:tc>
      </w:tr>
      <w:tr w:rsidR="001563F9" w:rsidRPr="001563F9" w:rsidTr="001F5A42">
        <w:trPr>
          <w:trHeight w:val="240"/>
        </w:trPr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2015</w:t>
            </w:r>
          </w:p>
        </w:tc>
        <w:tc>
          <w:tcPr>
            <w:tcW w:w="2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3F9" w:rsidRPr="001563F9" w:rsidRDefault="001563F9" w:rsidP="001563F9">
            <w:pPr>
              <w:spacing w:before="0"/>
              <w:rPr>
                <w:rFonts w:eastAsia="Arial"/>
              </w:rPr>
            </w:pPr>
            <w:r w:rsidRPr="001563F9">
              <w:rPr>
                <w:rFonts w:eastAsia="Arial"/>
              </w:rPr>
              <w:t>123</w:t>
            </w:r>
          </w:p>
        </w:tc>
      </w:tr>
    </w:tbl>
    <w:p w:rsidR="001563F9" w:rsidRDefault="003C2139" w:rsidP="003C2139">
      <w:pPr>
        <w:pStyle w:val="berschrift2"/>
      </w:pPr>
      <w:r>
        <w:t>Die Zuhörer*innen einbeziehen</w:t>
      </w:r>
    </w:p>
    <w:p w:rsidR="000A30D7" w:rsidRDefault="000A30D7" w:rsidP="00C970FE">
      <w:r>
        <w:t>Sie sollten Ihre Zuhörer*innen aktiv einbeziehen, damit die Präsentation lebendig wirkt</w:t>
      </w:r>
      <w:r w:rsidR="00903E69">
        <w:t>:</w:t>
      </w:r>
    </w:p>
    <w:p w:rsidR="003C2139" w:rsidRDefault="00D240FB" w:rsidP="000A30D7">
      <w:pPr>
        <w:pStyle w:val="Listenabsatz"/>
        <w:numPr>
          <w:ilvl w:val="0"/>
          <w:numId w:val="28"/>
        </w:numPr>
      </w:pPr>
      <w:r>
        <w:t>Legen Sie zu Beginn der Präsentation fest, ob die Teilnehmer*innen Fragen stellen dürfen – und wann</w:t>
      </w:r>
      <w:r w:rsidR="000A30D7">
        <w:t>: G</w:t>
      </w:r>
      <w:r>
        <w:t>leich zum jeweiligen Zeitpunkt, oder erst ganz am Ende?</w:t>
      </w:r>
    </w:p>
    <w:p w:rsidR="002F3AEB" w:rsidRDefault="002F3AEB" w:rsidP="000A30D7">
      <w:pPr>
        <w:pStyle w:val="Listenabsatz"/>
        <w:numPr>
          <w:ilvl w:val="0"/>
          <w:numId w:val="28"/>
        </w:numPr>
      </w:pPr>
      <w:r>
        <w:t>Fordern Sie die Zuhörer*innen explizit auf, eine Frage zu beantworten, z. B.: „Welche Erfahrungen haben Sie gemacht?“</w:t>
      </w:r>
    </w:p>
    <w:p w:rsidR="00C970FE" w:rsidRDefault="007770D8" w:rsidP="000D7485">
      <w:pPr>
        <w:pStyle w:val="berschrift2"/>
      </w:pPr>
      <w:r>
        <w:t>Sich nicht in Details verlieren</w:t>
      </w:r>
    </w:p>
    <w:p w:rsidR="007770D8" w:rsidRDefault="000D7485" w:rsidP="006977C6">
      <w:r w:rsidRPr="00B26DA3">
        <w:rPr>
          <w:rFonts w:eastAsia="Arial"/>
        </w:rPr>
        <w:t xml:space="preserve">Bleiben Sie beim Thema: Ein Beispiel hier und dort schadet nicht, aber verlieren Sie sich nicht in Details oder </w:t>
      </w:r>
      <w:r w:rsidR="003B0C8F">
        <w:rPr>
          <w:rFonts w:eastAsia="Arial"/>
        </w:rPr>
        <w:t xml:space="preserve">Geschichten </w:t>
      </w:r>
      <w:r w:rsidRPr="00B26DA3">
        <w:rPr>
          <w:rFonts w:eastAsia="Arial"/>
        </w:rPr>
        <w:t>– das langweilt das Publikum.</w:t>
      </w:r>
    </w:p>
    <w:p w:rsidR="0072190E" w:rsidRDefault="0072190E" w:rsidP="00C970FE"/>
    <w:p w:rsidR="00771AFF" w:rsidRDefault="00A34AB2" w:rsidP="00A34AB2">
      <w:pPr>
        <w:pStyle w:val="berschrift2"/>
      </w:pPr>
      <w:r>
        <w:t>Dem Publikum zugewendet bleiben</w:t>
      </w:r>
    </w:p>
    <w:p w:rsidR="00A34AB2" w:rsidRDefault="00771AFF" w:rsidP="00C970FE">
      <w:pPr>
        <w:rPr>
          <w:rFonts w:eastAsia="Arial"/>
        </w:rPr>
      </w:pPr>
      <w:r w:rsidRPr="00B26DA3">
        <w:rPr>
          <w:rFonts w:eastAsia="Arial"/>
        </w:rPr>
        <w:t xml:space="preserve">Wann immer es möglich ist, sollten Sie in der Mitte des Raumes stehen. </w:t>
      </w:r>
    </w:p>
    <w:p w:rsidR="001C4627" w:rsidRPr="00AB6883" w:rsidRDefault="00771AFF" w:rsidP="00C970FE">
      <w:pPr>
        <w:rPr>
          <w:rFonts w:eastAsia="Arial"/>
        </w:rPr>
      </w:pPr>
      <w:r w:rsidRPr="00B26DA3">
        <w:rPr>
          <w:rFonts w:eastAsia="Arial"/>
        </w:rPr>
        <w:t xml:space="preserve">Auf keinen Fall dreht man dem Publikum den Rücken zu – das ist </w:t>
      </w:r>
      <w:r w:rsidR="00AB6883">
        <w:rPr>
          <w:rFonts w:eastAsia="Arial"/>
        </w:rPr>
        <w:t>aber oft schwer</w:t>
      </w:r>
      <w:r w:rsidRPr="00B26DA3">
        <w:rPr>
          <w:rFonts w:eastAsia="Arial"/>
        </w:rPr>
        <w:t xml:space="preserve"> umzusetzen</w:t>
      </w:r>
      <w:r w:rsidR="00AB6883">
        <w:rPr>
          <w:rFonts w:eastAsia="Arial"/>
        </w:rPr>
        <w:t xml:space="preserve"> oder passiert automatisch, wenn man prüfen möchte, was auf der Präsentation gerade zu sehen ist</w:t>
      </w:r>
      <w:r w:rsidRPr="00B26DA3">
        <w:rPr>
          <w:rFonts w:eastAsia="Arial"/>
        </w:rPr>
        <w:t xml:space="preserve">. </w:t>
      </w:r>
      <w:r w:rsidR="00AB6883">
        <w:rPr>
          <w:rFonts w:eastAsia="Arial"/>
        </w:rPr>
        <w:br/>
      </w:r>
      <w:r w:rsidRPr="00B26DA3">
        <w:rPr>
          <w:rFonts w:eastAsia="Arial"/>
        </w:rPr>
        <w:t xml:space="preserve">Tipp: Drucken Sie sich die Folien </w:t>
      </w:r>
      <w:r w:rsidR="0042244B">
        <w:rPr>
          <w:rFonts w:eastAsia="Arial"/>
        </w:rPr>
        <w:t>zur Präsentation</w:t>
      </w:r>
      <w:r w:rsidRPr="00B26DA3">
        <w:rPr>
          <w:rFonts w:eastAsia="Arial"/>
        </w:rPr>
        <w:t xml:space="preserve"> aus oder stellen Sie den </w:t>
      </w:r>
      <w:r w:rsidR="00E85CE4">
        <w:rPr>
          <w:rFonts w:eastAsia="Arial"/>
        </w:rPr>
        <w:t xml:space="preserve">Laptop </w:t>
      </w:r>
      <w:r w:rsidRPr="00B26DA3">
        <w:rPr>
          <w:rFonts w:eastAsia="Arial"/>
        </w:rPr>
        <w:t>so, dass Sie in Richtung Publikum blicken, wenn Sie kurz auf Ihre Folien schauen.</w:t>
      </w:r>
    </w:p>
    <w:p w:rsidR="00781D29" w:rsidRPr="00781D29" w:rsidRDefault="00781D29" w:rsidP="00781D29">
      <w:pPr>
        <w:pStyle w:val="berschrift2"/>
      </w:pPr>
      <w:r w:rsidRPr="00781D29">
        <w:lastRenderedPageBreak/>
        <w:t xml:space="preserve">Die 10-20-30-Regel </w:t>
      </w:r>
    </w:p>
    <w:p w:rsidR="002877E4" w:rsidRDefault="00781D29" w:rsidP="00781D29">
      <w:pPr>
        <w:rPr>
          <w:rFonts w:eastAsia="Arial"/>
          <w:szCs w:val="24"/>
        </w:rPr>
      </w:pPr>
      <w:r w:rsidRPr="00B26DA3">
        <w:rPr>
          <w:rFonts w:eastAsia="Arial"/>
          <w:szCs w:val="24"/>
        </w:rPr>
        <w:t xml:space="preserve">Beachten Sie die 10-20-30-Regel. </w:t>
      </w:r>
    </w:p>
    <w:p w:rsidR="002877E4" w:rsidRDefault="002877E4" w:rsidP="002877E4">
      <w:pPr>
        <w:pStyle w:val="Listenabsatz"/>
        <w:numPr>
          <w:ilvl w:val="0"/>
          <w:numId w:val="28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Präsentationen sollten </w:t>
      </w:r>
      <w:r w:rsidR="00781D29" w:rsidRPr="002877E4">
        <w:rPr>
          <w:rFonts w:eastAsia="Arial"/>
          <w:szCs w:val="24"/>
        </w:rPr>
        <w:t xml:space="preserve">nicht mehr als 10 Folien umfassen, </w:t>
      </w:r>
    </w:p>
    <w:p w:rsidR="002877E4" w:rsidRDefault="00781D29" w:rsidP="002877E4">
      <w:pPr>
        <w:pStyle w:val="Listenabsatz"/>
        <w:numPr>
          <w:ilvl w:val="0"/>
          <w:numId w:val="28"/>
        </w:numPr>
        <w:rPr>
          <w:rFonts w:eastAsia="Arial"/>
          <w:szCs w:val="24"/>
        </w:rPr>
      </w:pPr>
      <w:r w:rsidRPr="002877E4">
        <w:rPr>
          <w:rFonts w:eastAsia="Arial"/>
          <w:szCs w:val="24"/>
        </w:rPr>
        <w:t>maximal 20 Minuten dauern</w:t>
      </w:r>
      <w:r w:rsidR="002877E4">
        <w:rPr>
          <w:rFonts w:eastAsia="Arial"/>
          <w:szCs w:val="24"/>
        </w:rPr>
        <w:t>,</w:t>
      </w:r>
    </w:p>
    <w:p w:rsidR="002877E4" w:rsidRDefault="00781D29" w:rsidP="002877E4">
      <w:pPr>
        <w:pStyle w:val="Listenabsatz"/>
        <w:numPr>
          <w:ilvl w:val="0"/>
          <w:numId w:val="28"/>
        </w:numPr>
        <w:rPr>
          <w:rFonts w:eastAsia="Arial"/>
          <w:szCs w:val="24"/>
        </w:rPr>
      </w:pPr>
      <w:r w:rsidRPr="002877E4">
        <w:rPr>
          <w:rFonts w:eastAsia="Arial"/>
          <w:szCs w:val="24"/>
        </w:rPr>
        <w:t xml:space="preserve">und </w:t>
      </w:r>
      <w:r w:rsidR="002877E4">
        <w:rPr>
          <w:rFonts w:eastAsia="Arial"/>
          <w:szCs w:val="24"/>
        </w:rPr>
        <w:t xml:space="preserve">der Text sollte </w:t>
      </w:r>
      <w:r w:rsidRPr="002877E4">
        <w:rPr>
          <w:rFonts w:eastAsia="Arial"/>
          <w:szCs w:val="24"/>
        </w:rPr>
        <w:t xml:space="preserve">die Schriftgröße 30 Punkt nicht unterschreiten. </w:t>
      </w:r>
    </w:p>
    <w:p w:rsidR="00781D29" w:rsidRPr="002877E4" w:rsidRDefault="00781D29" w:rsidP="002877E4">
      <w:pPr>
        <w:rPr>
          <w:rFonts w:eastAsia="Arial"/>
          <w:szCs w:val="24"/>
        </w:rPr>
      </w:pPr>
      <w:r w:rsidRPr="002877E4">
        <w:rPr>
          <w:rFonts w:eastAsia="Arial"/>
          <w:szCs w:val="24"/>
        </w:rPr>
        <w:t>Diese Regel immer zu befolgen, wird schwierig sein und ist auch sicher nicht immer sinnvoll – sie kann aber helfen, sich daran zu erinnern, dass es darum geht, Inhalte auf das Wesentliche zu reduzieren.</w:t>
      </w:r>
    </w:p>
    <w:p w:rsidR="00781D29" w:rsidRDefault="00781D29" w:rsidP="00C970FE"/>
    <w:p w:rsidR="00EE7684" w:rsidRDefault="00EE7684" w:rsidP="00C970FE"/>
    <w:p w:rsidR="00781D29" w:rsidRPr="00EE7684" w:rsidRDefault="00651010" w:rsidP="00C970FE">
      <w:pPr>
        <w:rPr>
          <w:i/>
          <w:sz w:val="20"/>
        </w:rPr>
      </w:pPr>
      <w:r w:rsidRPr="00EE7684">
        <w:rPr>
          <w:i/>
          <w:sz w:val="20"/>
        </w:rPr>
        <w:t xml:space="preserve">Der Originaltext wurde von </w:t>
      </w:r>
      <w:r w:rsidRPr="00EE7684">
        <w:rPr>
          <w:b/>
          <w:bCs/>
          <w:i/>
          <w:iCs/>
          <w:sz w:val="20"/>
        </w:rPr>
        <w:t>Ute Demuth</w:t>
      </w:r>
      <w:r w:rsidRPr="00EE7684">
        <w:rPr>
          <w:i/>
          <w:iCs/>
          <w:sz w:val="20"/>
        </w:rPr>
        <w:t xml:space="preserve"> für </w:t>
      </w:r>
      <w:hyperlink r:id="rId9" w:history="1">
        <w:r w:rsidRPr="00EE7684">
          <w:rPr>
            <w:rStyle w:val="Hyperlink"/>
            <w:i/>
            <w:iCs/>
            <w:sz w:val="20"/>
          </w:rPr>
          <w:t>wb-web</w:t>
        </w:r>
        <w:r w:rsidRPr="00EE7684">
          <w:rPr>
            <w:rStyle w:val="Hyperlink"/>
            <w:i/>
            <w:sz w:val="20"/>
          </w:rPr>
          <w:t>.de</w:t>
        </w:r>
      </w:hyperlink>
      <w:r w:rsidRPr="00EE7684">
        <w:rPr>
          <w:i/>
          <w:sz w:val="20"/>
        </w:rPr>
        <w:t xml:space="preserve"> verfasst und unter </w:t>
      </w:r>
      <w:r w:rsidRPr="002723AE">
        <w:rPr>
          <w:b/>
          <w:i/>
          <w:iCs/>
          <w:sz w:val="20"/>
        </w:rPr>
        <w:t>CC BY SA 3.0 DE</w:t>
      </w:r>
      <w:r w:rsidRPr="00EE7684">
        <w:rPr>
          <w:i/>
          <w:iCs/>
          <w:sz w:val="20"/>
        </w:rPr>
        <w:t xml:space="preserve"> unter </w:t>
      </w:r>
      <w:hyperlink r:id="rId10" w:history="1">
        <w:r w:rsidRPr="00EE7684">
          <w:rPr>
            <w:rStyle w:val="Hyperlink"/>
            <w:i/>
            <w:iCs/>
            <w:sz w:val="20"/>
          </w:rPr>
          <w:t>https://wb-web.de/material/medien/10-dinge-die-sie-bei-prasentationen-dringend-beachten-sollten.html</w:t>
        </w:r>
      </w:hyperlink>
      <w:r w:rsidRPr="00EE7684">
        <w:rPr>
          <w:i/>
          <w:iCs/>
          <w:sz w:val="20"/>
        </w:rPr>
        <w:t xml:space="preserve"> veröffentlicht</w:t>
      </w:r>
      <w:r w:rsidR="00EE7684">
        <w:rPr>
          <w:i/>
          <w:iCs/>
          <w:sz w:val="20"/>
        </w:rPr>
        <w:t xml:space="preserve"> (Stand: 04. April 2022)</w:t>
      </w:r>
      <w:r w:rsidRPr="00EE7684">
        <w:rPr>
          <w:i/>
          <w:iCs/>
          <w:sz w:val="20"/>
        </w:rPr>
        <w:t>.</w:t>
      </w:r>
    </w:p>
    <w:sectPr w:rsidR="00781D29" w:rsidRPr="00EE7684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B1" w:rsidRDefault="00BE69B1" w:rsidP="00F759F3">
      <w:r>
        <w:separator/>
      </w:r>
    </w:p>
  </w:endnote>
  <w:endnote w:type="continuationSeparator" w:id="0">
    <w:p w:rsidR="00BE69B1" w:rsidRDefault="00BE69B1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99134"/>
              <wp:effectExtent l="0" t="0" r="13335" b="6350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99134"/>
                        <a:chOff x="0" y="34506"/>
                        <a:chExt cx="5892368" cy="699134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59672" y="293401"/>
                          <a:ext cx="4558932" cy="440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6852D5" w:rsidRDefault="000D417E" w:rsidP="00A47C51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Ute Demuth/</w:t>
                            </w:r>
                            <w:hyperlink r:id="rId1" w:history="1">
                              <w:r w:rsidRPr="000D417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</w:t>
                              </w:r>
                              <w:r w:rsidR="00BE69B1" w:rsidRPr="000D417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b-web.de</w:t>
                              </w:r>
                            </w:hyperlink>
                            <w:r w:rsidR="00BE69B1">
                              <w:rPr>
                                <w:sz w:val="16"/>
                                <w:szCs w:val="16"/>
                              </w:rPr>
                              <w:t xml:space="preserve">, bearbeitet von </w:t>
                            </w:r>
                            <w:r w:rsidR="00144933">
                              <w:rPr>
                                <w:sz w:val="16"/>
                                <w:szCs w:val="16"/>
                              </w:rPr>
                              <w:t>Dipl.-Ing.</w:t>
                            </w:r>
                            <w:r w:rsidR="00144933" w:rsidRPr="0014493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in</w:t>
                            </w:r>
                            <w:r w:rsidR="00144933">
                              <w:rPr>
                                <w:sz w:val="16"/>
                                <w:szCs w:val="16"/>
                              </w:rPr>
                              <w:t xml:space="preserve"> (FH) Eva Brenner, </w:t>
                            </w:r>
                            <w:proofErr w:type="spellStart"/>
                            <w:r w:rsidR="00144933">
                              <w:rPr>
                                <w:sz w:val="16"/>
                                <w:szCs w:val="16"/>
                              </w:rPr>
                              <w:t>MSc</w:t>
                            </w:r>
                            <w:proofErr w:type="spellEnd"/>
                            <w:r w:rsidR="00144933">
                              <w:rPr>
                                <w:sz w:val="16"/>
                                <w:szCs w:val="16"/>
                              </w:rPr>
                              <w:t>/akzente</w:t>
                            </w:r>
                            <w:r w:rsidR="006852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52D5" w:rsidRPr="006852D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="006852D5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</w:hyperlink>
                            <w:r w:rsidR="006852D5" w:rsidRPr="006852D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BE69B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A63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9B1" w:rsidRPr="00957FD7">
                              <w:rPr>
                                <w:color w:val="333333"/>
                                <w:sz w:val="16"/>
                                <w:szCs w:val="16"/>
                              </w:rPr>
                              <w:t>Dieses Material steht unter der Creativ</w:t>
                            </w:r>
                            <w:r w:rsidR="00BE69B1">
                              <w:rPr>
                                <w:color w:val="333333"/>
                                <w:sz w:val="16"/>
                                <w:szCs w:val="16"/>
                              </w:rPr>
                              <w:t>e-Commons-Lizenz</w:t>
                            </w:r>
                            <w:r w:rsidR="00A47C51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9B1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Namensnennung – </w:t>
                            </w:r>
                            <w:r w:rsidR="00BE69B1" w:rsidRPr="00957FD7">
                              <w:rPr>
                                <w:color w:val="333333"/>
                                <w:sz w:val="16"/>
                                <w:szCs w:val="16"/>
                              </w:rPr>
                              <w:t>Weitergabe unter gleichen Bedingungen 3.0</w:t>
                            </w:r>
                            <w:r w:rsidR="00BE69B1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DE (</w:t>
                            </w:r>
                            <w:hyperlink r:id="rId3" w:history="1">
                              <w:r w:rsidR="00BE69B1" w:rsidRPr="003B035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http://creativecommons.org/licenses/by-sa/3.0/de/</w:t>
                              </w:r>
                            </w:hyperlink>
                            <w:r w:rsidR="00BE69B1">
                              <w:rPr>
                                <w:color w:val="333333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27547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5.05pt;z-index:251657728;mso-position-horizontal-relative:margin;mso-width-relative:margin;mso-height-relative:margin" coordorigin=",345" coordsize="58923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feld 2" o:spid="_x0000_s1031" type="#_x0000_t202" style="position:absolute;left:7596;top:2934;width:45590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:rsidR="005B71B6" w:rsidRPr="006852D5" w:rsidRDefault="000D417E" w:rsidP="00A47C51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Ute Demuth/</w:t>
                      </w:r>
                      <w:hyperlink r:id="rId4" w:history="1">
                        <w:r w:rsidRPr="000D417E">
                          <w:rPr>
                            <w:rStyle w:val="Hyperlink"/>
                            <w:sz w:val="16"/>
                            <w:szCs w:val="16"/>
                          </w:rPr>
                          <w:t>w</w:t>
                        </w:r>
                        <w:r w:rsidR="00BE69B1" w:rsidRPr="000D417E">
                          <w:rPr>
                            <w:rStyle w:val="Hyperlink"/>
                            <w:sz w:val="16"/>
                            <w:szCs w:val="16"/>
                          </w:rPr>
                          <w:t>b-web.de</w:t>
                        </w:r>
                      </w:hyperlink>
                      <w:r w:rsidR="00BE69B1">
                        <w:rPr>
                          <w:sz w:val="16"/>
                          <w:szCs w:val="16"/>
                        </w:rPr>
                        <w:t xml:space="preserve">, bearbeitet von </w:t>
                      </w:r>
                      <w:r w:rsidR="00144933">
                        <w:rPr>
                          <w:sz w:val="16"/>
                          <w:szCs w:val="16"/>
                        </w:rPr>
                        <w:t>Dipl.-Ing.</w:t>
                      </w:r>
                      <w:r w:rsidR="00144933" w:rsidRPr="00144933">
                        <w:rPr>
                          <w:sz w:val="16"/>
                          <w:szCs w:val="16"/>
                          <w:vertAlign w:val="superscript"/>
                        </w:rPr>
                        <w:t>in</w:t>
                      </w:r>
                      <w:r w:rsidR="00144933">
                        <w:rPr>
                          <w:sz w:val="16"/>
                          <w:szCs w:val="16"/>
                        </w:rPr>
                        <w:t xml:space="preserve"> (FH) Eva Brenner, </w:t>
                      </w:r>
                      <w:proofErr w:type="spellStart"/>
                      <w:r w:rsidR="00144933">
                        <w:rPr>
                          <w:sz w:val="16"/>
                          <w:szCs w:val="16"/>
                        </w:rPr>
                        <w:t>MSc</w:t>
                      </w:r>
                      <w:proofErr w:type="spellEnd"/>
                      <w:r w:rsidR="00144933">
                        <w:rPr>
                          <w:sz w:val="16"/>
                          <w:szCs w:val="16"/>
                        </w:rPr>
                        <w:t>/akzente</w:t>
                      </w:r>
                      <w:r w:rsidR="006852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52D5" w:rsidRPr="006852D5">
                        <w:rPr>
                          <w:sz w:val="16"/>
                          <w:szCs w:val="16"/>
                        </w:rPr>
                        <w:t>(</w:t>
                      </w:r>
                      <w:hyperlink r:id="rId5" w:history="1">
                        <w:r w:rsidR="006852D5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</w:hyperlink>
                      <w:r w:rsidR="006852D5" w:rsidRPr="006852D5">
                        <w:rPr>
                          <w:sz w:val="16"/>
                          <w:szCs w:val="16"/>
                        </w:rPr>
                        <w:t>)</w:t>
                      </w:r>
                      <w:r w:rsidR="00BE69B1">
                        <w:rPr>
                          <w:sz w:val="16"/>
                          <w:szCs w:val="16"/>
                        </w:rPr>
                        <w:t>.</w:t>
                      </w:r>
                      <w:r w:rsidR="00FA63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E69B1" w:rsidRPr="00957FD7">
                        <w:rPr>
                          <w:color w:val="333333"/>
                          <w:sz w:val="16"/>
                          <w:szCs w:val="16"/>
                        </w:rPr>
                        <w:t>Dieses Material steht unter der Creativ</w:t>
                      </w:r>
                      <w:r w:rsidR="00BE69B1">
                        <w:rPr>
                          <w:color w:val="333333"/>
                          <w:sz w:val="16"/>
                          <w:szCs w:val="16"/>
                        </w:rPr>
                        <w:t>e-Commons-Lizenz</w:t>
                      </w:r>
                      <w:r w:rsidR="00A47C51">
                        <w:rPr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="00BE69B1">
                        <w:rPr>
                          <w:color w:val="333333"/>
                          <w:sz w:val="16"/>
                          <w:szCs w:val="16"/>
                        </w:rPr>
                        <w:t xml:space="preserve">Namensnennung – </w:t>
                      </w:r>
                      <w:r w:rsidR="00BE69B1" w:rsidRPr="00957FD7">
                        <w:rPr>
                          <w:color w:val="333333"/>
                          <w:sz w:val="16"/>
                          <w:szCs w:val="16"/>
                        </w:rPr>
                        <w:t>Weitergabe unter gleichen Bedingungen 3.0</w:t>
                      </w:r>
                      <w:r w:rsidR="00BE69B1">
                        <w:rPr>
                          <w:color w:val="333333"/>
                          <w:sz w:val="16"/>
                          <w:szCs w:val="16"/>
                        </w:rPr>
                        <w:t xml:space="preserve"> DE</w:t>
                      </w:r>
                      <w:r w:rsidR="00BE69B1">
                        <w:rPr>
                          <w:color w:val="333333"/>
                          <w:sz w:val="16"/>
                          <w:szCs w:val="16"/>
                        </w:rPr>
                        <w:t xml:space="preserve"> (</w:t>
                      </w:r>
                      <w:hyperlink r:id="rId6" w:history="1">
                        <w:r w:rsidR="00BE69B1" w:rsidRPr="003B035E">
                          <w:rPr>
                            <w:rStyle w:val="Hyperlink"/>
                            <w:sz w:val="16"/>
                            <w:szCs w:val="16"/>
                          </w:rPr>
                          <w:t>http://creativecommons.org/licenses/by-sa/3.0/de/</w:t>
                        </w:r>
                      </w:hyperlink>
                      <w:r w:rsidR="00BE69B1">
                        <w:rPr>
                          <w:color w:val="333333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line id="Gerader Verbinder 238" o:spid="_x0000_s103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3" style="position:absolute;visibility:visible;mso-wrap-style:square" from="0,2754" to="52705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BE69B1">
    <w:pPr>
      <w:pStyle w:val="Fuzeile"/>
    </w:pPr>
    <w:r w:rsidRPr="008F665E">
      <w:rPr>
        <w:noProof/>
      </w:rPr>
      <w:drawing>
        <wp:anchor distT="0" distB="0" distL="114300" distR="114300" simplePos="0" relativeHeight="251660800" behindDoc="0" locked="0" layoutInCell="1" allowOverlap="1" wp14:anchorId="65DBAF1B" wp14:editId="37D97B1F">
          <wp:simplePos x="0" y="0"/>
          <wp:positionH relativeFrom="margin">
            <wp:posOffset>-1270</wp:posOffset>
          </wp:positionH>
          <wp:positionV relativeFrom="margin">
            <wp:posOffset>9018905</wp:posOffset>
          </wp:positionV>
          <wp:extent cx="753044" cy="248400"/>
          <wp:effectExtent l="0" t="0" r="9525" b="0"/>
          <wp:wrapSquare wrapText="bothSides"/>
          <wp:docPr id="6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44" cy="24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B1" w:rsidRDefault="00BE69B1" w:rsidP="00F759F3">
      <w:r>
        <w:separator/>
      </w:r>
    </w:p>
  </w:footnote>
  <w:footnote w:type="continuationSeparator" w:id="0">
    <w:p w:rsidR="00BE69B1" w:rsidRDefault="00BE69B1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634C8"/>
    <w:multiLevelType w:val="multilevel"/>
    <w:tmpl w:val="5686B5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0809"/>
    <w:multiLevelType w:val="hybridMultilevel"/>
    <w:tmpl w:val="B15A56C6"/>
    <w:lvl w:ilvl="0" w:tplc="EED035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1022E"/>
    <w:multiLevelType w:val="multilevel"/>
    <w:tmpl w:val="98F8E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3CF11C5"/>
    <w:multiLevelType w:val="hybridMultilevel"/>
    <w:tmpl w:val="B24E0DE0"/>
    <w:lvl w:ilvl="0" w:tplc="EED035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7051"/>
    <w:multiLevelType w:val="hybridMultilevel"/>
    <w:tmpl w:val="4BB030F6"/>
    <w:lvl w:ilvl="0" w:tplc="EED035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F7CD8"/>
    <w:multiLevelType w:val="hybridMultilevel"/>
    <w:tmpl w:val="5AE6A360"/>
    <w:lvl w:ilvl="0" w:tplc="EED0359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10844"/>
    <w:multiLevelType w:val="hybridMultilevel"/>
    <w:tmpl w:val="8F343DD4"/>
    <w:lvl w:ilvl="0" w:tplc="EED035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2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14"/>
  </w:num>
  <w:num w:numId="9">
    <w:abstractNumId w:val="2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  <w:num w:numId="25">
    <w:abstractNumId w:val="24"/>
  </w:num>
  <w:num w:numId="26">
    <w:abstractNumId w:val="19"/>
  </w:num>
  <w:num w:numId="27">
    <w:abstractNumId w:val="26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B1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27595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4FD7"/>
    <w:rsid w:val="00095F95"/>
    <w:rsid w:val="0009660A"/>
    <w:rsid w:val="000A0377"/>
    <w:rsid w:val="000A1DB1"/>
    <w:rsid w:val="000A30D7"/>
    <w:rsid w:val="000A5A57"/>
    <w:rsid w:val="000A62A4"/>
    <w:rsid w:val="000B337A"/>
    <w:rsid w:val="000B5224"/>
    <w:rsid w:val="000B6417"/>
    <w:rsid w:val="000C22B8"/>
    <w:rsid w:val="000C373A"/>
    <w:rsid w:val="000C3ADB"/>
    <w:rsid w:val="000C5613"/>
    <w:rsid w:val="000D0895"/>
    <w:rsid w:val="000D0DD4"/>
    <w:rsid w:val="000D0FAF"/>
    <w:rsid w:val="000D3763"/>
    <w:rsid w:val="000D417E"/>
    <w:rsid w:val="000D669A"/>
    <w:rsid w:val="000D7485"/>
    <w:rsid w:val="000E0F42"/>
    <w:rsid w:val="000E38CE"/>
    <w:rsid w:val="000E4FF2"/>
    <w:rsid w:val="000E5DF6"/>
    <w:rsid w:val="000F3D47"/>
    <w:rsid w:val="000F4D25"/>
    <w:rsid w:val="000F558F"/>
    <w:rsid w:val="000F6B53"/>
    <w:rsid w:val="000F789D"/>
    <w:rsid w:val="000F7D9B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173AA"/>
    <w:rsid w:val="0012219C"/>
    <w:rsid w:val="001233DB"/>
    <w:rsid w:val="00126A42"/>
    <w:rsid w:val="0013037B"/>
    <w:rsid w:val="00135ED7"/>
    <w:rsid w:val="00137633"/>
    <w:rsid w:val="00142D59"/>
    <w:rsid w:val="00144933"/>
    <w:rsid w:val="00145AD6"/>
    <w:rsid w:val="00154DF6"/>
    <w:rsid w:val="00155203"/>
    <w:rsid w:val="001563F9"/>
    <w:rsid w:val="00157061"/>
    <w:rsid w:val="001606CA"/>
    <w:rsid w:val="00161355"/>
    <w:rsid w:val="00164144"/>
    <w:rsid w:val="001649C7"/>
    <w:rsid w:val="0016663C"/>
    <w:rsid w:val="00172536"/>
    <w:rsid w:val="0017264F"/>
    <w:rsid w:val="00175C9D"/>
    <w:rsid w:val="00181EF6"/>
    <w:rsid w:val="001849DA"/>
    <w:rsid w:val="001850E9"/>
    <w:rsid w:val="0018604E"/>
    <w:rsid w:val="00186F84"/>
    <w:rsid w:val="001944C1"/>
    <w:rsid w:val="00195059"/>
    <w:rsid w:val="001A2825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627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5A42"/>
    <w:rsid w:val="001F61CE"/>
    <w:rsid w:val="001F622A"/>
    <w:rsid w:val="001F6876"/>
    <w:rsid w:val="001F6B00"/>
    <w:rsid w:val="00200DE7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36E3D"/>
    <w:rsid w:val="00242226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7E6"/>
    <w:rsid w:val="00271961"/>
    <w:rsid w:val="00271C25"/>
    <w:rsid w:val="002723AE"/>
    <w:rsid w:val="00273911"/>
    <w:rsid w:val="002818FF"/>
    <w:rsid w:val="00281A66"/>
    <w:rsid w:val="00284FAA"/>
    <w:rsid w:val="00285250"/>
    <w:rsid w:val="002865B8"/>
    <w:rsid w:val="00286BDD"/>
    <w:rsid w:val="002877E4"/>
    <w:rsid w:val="00290D8A"/>
    <w:rsid w:val="00293793"/>
    <w:rsid w:val="002937D7"/>
    <w:rsid w:val="00293E26"/>
    <w:rsid w:val="002947EB"/>
    <w:rsid w:val="00297769"/>
    <w:rsid w:val="002A0779"/>
    <w:rsid w:val="002A189D"/>
    <w:rsid w:val="002A3782"/>
    <w:rsid w:val="002A46BA"/>
    <w:rsid w:val="002A60F0"/>
    <w:rsid w:val="002A6938"/>
    <w:rsid w:val="002A7FCC"/>
    <w:rsid w:val="002B365A"/>
    <w:rsid w:val="002B39E5"/>
    <w:rsid w:val="002C1225"/>
    <w:rsid w:val="002C2436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3AEB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4CF8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C8F"/>
    <w:rsid w:val="003B0F69"/>
    <w:rsid w:val="003B3AB6"/>
    <w:rsid w:val="003C0A96"/>
    <w:rsid w:val="003C1616"/>
    <w:rsid w:val="003C2139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244B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3D29"/>
    <w:rsid w:val="004647E7"/>
    <w:rsid w:val="00464E40"/>
    <w:rsid w:val="00465055"/>
    <w:rsid w:val="00470117"/>
    <w:rsid w:val="0047124E"/>
    <w:rsid w:val="004714F8"/>
    <w:rsid w:val="00472300"/>
    <w:rsid w:val="00472AC4"/>
    <w:rsid w:val="00482B95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4B41"/>
    <w:rsid w:val="004B5741"/>
    <w:rsid w:val="004B77F8"/>
    <w:rsid w:val="004C5F7E"/>
    <w:rsid w:val="004C7EF2"/>
    <w:rsid w:val="004D4B3D"/>
    <w:rsid w:val="004E0560"/>
    <w:rsid w:val="004E22D5"/>
    <w:rsid w:val="004E3643"/>
    <w:rsid w:val="004E5070"/>
    <w:rsid w:val="004E5F66"/>
    <w:rsid w:val="004E62BB"/>
    <w:rsid w:val="004E7398"/>
    <w:rsid w:val="004E7EBD"/>
    <w:rsid w:val="004F0E6E"/>
    <w:rsid w:val="004F425A"/>
    <w:rsid w:val="004F5A54"/>
    <w:rsid w:val="00501DFC"/>
    <w:rsid w:val="00504491"/>
    <w:rsid w:val="005050B1"/>
    <w:rsid w:val="00506BE2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0E6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69FB"/>
    <w:rsid w:val="005D71C2"/>
    <w:rsid w:val="005E0CE0"/>
    <w:rsid w:val="005E39DF"/>
    <w:rsid w:val="005E479A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4D3"/>
    <w:rsid w:val="00613694"/>
    <w:rsid w:val="00613810"/>
    <w:rsid w:val="00617E0A"/>
    <w:rsid w:val="00621D2F"/>
    <w:rsid w:val="00621E20"/>
    <w:rsid w:val="00622427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1010"/>
    <w:rsid w:val="00652668"/>
    <w:rsid w:val="00653BF0"/>
    <w:rsid w:val="00654C32"/>
    <w:rsid w:val="0065557B"/>
    <w:rsid w:val="006560D7"/>
    <w:rsid w:val="00656A19"/>
    <w:rsid w:val="00660C26"/>
    <w:rsid w:val="0066142D"/>
    <w:rsid w:val="006624BC"/>
    <w:rsid w:val="00662B6A"/>
    <w:rsid w:val="00664F33"/>
    <w:rsid w:val="006660B4"/>
    <w:rsid w:val="00676600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977C6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B6B02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182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90E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025"/>
    <w:rsid w:val="00736C84"/>
    <w:rsid w:val="00737F11"/>
    <w:rsid w:val="007401B2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1AFF"/>
    <w:rsid w:val="0077573F"/>
    <w:rsid w:val="007762A4"/>
    <w:rsid w:val="007770D8"/>
    <w:rsid w:val="00781D29"/>
    <w:rsid w:val="0078202B"/>
    <w:rsid w:val="00786435"/>
    <w:rsid w:val="00787519"/>
    <w:rsid w:val="00790BFC"/>
    <w:rsid w:val="007915F6"/>
    <w:rsid w:val="007917C4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67FA"/>
    <w:rsid w:val="007B7133"/>
    <w:rsid w:val="007C1E39"/>
    <w:rsid w:val="007C264B"/>
    <w:rsid w:val="007C34FE"/>
    <w:rsid w:val="007C4591"/>
    <w:rsid w:val="007D2F95"/>
    <w:rsid w:val="007D4360"/>
    <w:rsid w:val="007D4D4C"/>
    <w:rsid w:val="007E6E96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1E04"/>
    <w:rsid w:val="0086283D"/>
    <w:rsid w:val="008634F0"/>
    <w:rsid w:val="00863E79"/>
    <w:rsid w:val="00865539"/>
    <w:rsid w:val="00865D82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5CE9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0B06"/>
    <w:rsid w:val="008D2ACF"/>
    <w:rsid w:val="008D32C0"/>
    <w:rsid w:val="008D51EF"/>
    <w:rsid w:val="008D6389"/>
    <w:rsid w:val="008E02A0"/>
    <w:rsid w:val="008E0C41"/>
    <w:rsid w:val="008E2B1B"/>
    <w:rsid w:val="008E41E7"/>
    <w:rsid w:val="008E4B7B"/>
    <w:rsid w:val="008E5DC4"/>
    <w:rsid w:val="008F017B"/>
    <w:rsid w:val="008F317E"/>
    <w:rsid w:val="0090362E"/>
    <w:rsid w:val="009038FA"/>
    <w:rsid w:val="00903A02"/>
    <w:rsid w:val="00903E69"/>
    <w:rsid w:val="009044F9"/>
    <w:rsid w:val="00905B7F"/>
    <w:rsid w:val="0090630E"/>
    <w:rsid w:val="0090696B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511B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5B08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4C57"/>
    <w:rsid w:val="00A26BBF"/>
    <w:rsid w:val="00A31434"/>
    <w:rsid w:val="00A34226"/>
    <w:rsid w:val="00A34AB2"/>
    <w:rsid w:val="00A4054B"/>
    <w:rsid w:val="00A413E0"/>
    <w:rsid w:val="00A4744A"/>
    <w:rsid w:val="00A47C51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67C18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5569"/>
    <w:rsid w:val="00A96065"/>
    <w:rsid w:val="00AA27CD"/>
    <w:rsid w:val="00AA485C"/>
    <w:rsid w:val="00AB0F90"/>
    <w:rsid w:val="00AB4E70"/>
    <w:rsid w:val="00AB6883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E3411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CAC"/>
    <w:rsid w:val="00B35E5D"/>
    <w:rsid w:val="00B36A9B"/>
    <w:rsid w:val="00B36BE7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0239"/>
    <w:rsid w:val="00B75BDE"/>
    <w:rsid w:val="00B75F9D"/>
    <w:rsid w:val="00B77457"/>
    <w:rsid w:val="00B77CE7"/>
    <w:rsid w:val="00B816CE"/>
    <w:rsid w:val="00B8170B"/>
    <w:rsid w:val="00B863E5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C7A8A"/>
    <w:rsid w:val="00BD4F7F"/>
    <w:rsid w:val="00BE05B8"/>
    <w:rsid w:val="00BE4813"/>
    <w:rsid w:val="00BE5268"/>
    <w:rsid w:val="00BE557C"/>
    <w:rsid w:val="00BE5FDD"/>
    <w:rsid w:val="00BE69B1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38DC"/>
    <w:rsid w:val="00C65F0B"/>
    <w:rsid w:val="00C66969"/>
    <w:rsid w:val="00C70F14"/>
    <w:rsid w:val="00C745A0"/>
    <w:rsid w:val="00C754B4"/>
    <w:rsid w:val="00C75662"/>
    <w:rsid w:val="00C77CA0"/>
    <w:rsid w:val="00C83951"/>
    <w:rsid w:val="00C83E4F"/>
    <w:rsid w:val="00C84186"/>
    <w:rsid w:val="00C85DF9"/>
    <w:rsid w:val="00C90A81"/>
    <w:rsid w:val="00C91BDB"/>
    <w:rsid w:val="00C9346B"/>
    <w:rsid w:val="00C937BD"/>
    <w:rsid w:val="00C94A92"/>
    <w:rsid w:val="00C970FE"/>
    <w:rsid w:val="00CA117B"/>
    <w:rsid w:val="00CA3C61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40FB"/>
    <w:rsid w:val="00D259F2"/>
    <w:rsid w:val="00D34F0A"/>
    <w:rsid w:val="00D476D3"/>
    <w:rsid w:val="00D515E0"/>
    <w:rsid w:val="00D522C4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304D"/>
    <w:rsid w:val="00D93F2C"/>
    <w:rsid w:val="00D97C99"/>
    <w:rsid w:val="00DA10BE"/>
    <w:rsid w:val="00DA2CD0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5DA"/>
    <w:rsid w:val="00DE2749"/>
    <w:rsid w:val="00DE3615"/>
    <w:rsid w:val="00DE43F9"/>
    <w:rsid w:val="00DE4A65"/>
    <w:rsid w:val="00DE5A8A"/>
    <w:rsid w:val="00DF0EB3"/>
    <w:rsid w:val="00DF0F05"/>
    <w:rsid w:val="00DF0F4B"/>
    <w:rsid w:val="00DF3E7D"/>
    <w:rsid w:val="00DF52BA"/>
    <w:rsid w:val="00DF55B6"/>
    <w:rsid w:val="00DF5BBE"/>
    <w:rsid w:val="00DF6CB6"/>
    <w:rsid w:val="00E00516"/>
    <w:rsid w:val="00E02F4C"/>
    <w:rsid w:val="00E07A3F"/>
    <w:rsid w:val="00E116F4"/>
    <w:rsid w:val="00E13D44"/>
    <w:rsid w:val="00E148DD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5CE4"/>
    <w:rsid w:val="00E86C47"/>
    <w:rsid w:val="00E87AD6"/>
    <w:rsid w:val="00E91395"/>
    <w:rsid w:val="00E91DDA"/>
    <w:rsid w:val="00E9289D"/>
    <w:rsid w:val="00E96068"/>
    <w:rsid w:val="00EA3EE1"/>
    <w:rsid w:val="00EA4CAC"/>
    <w:rsid w:val="00EA615A"/>
    <w:rsid w:val="00EB1645"/>
    <w:rsid w:val="00EB32EF"/>
    <w:rsid w:val="00EB3620"/>
    <w:rsid w:val="00EB3A45"/>
    <w:rsid w:val="00EB4EE9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684"/>
    <w:rsid w:val="00EE779F"/>
    <w:rsid w:val="00EE7D8B"/>
    <w:rsid w:val="00EF07EA"/>
    <w:rsid w:val="00EF0A5C"/>
    <w:rsid w:val="00EF3236"/>
    <w:rsid w:val="00EF3E61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AF3"/>
    <w:rsid w:val="00F33B37"/>
    <w:rsid w:val="00F35202"/>
    <w:rsid w:val="00F35BE9"/>
    <w:rsid w:val="00F37EB3"/>
    <w:rsid w:val="00F421F7"/>
    <w:rsid w:val="00F502D0"/>
    <w:rsid w:val="00F57922"/>
    <w:rsid w:val="00F60240"/>
    <w:rsid w:val="00F606E5"/>
    <w:rsid w:val="00F60A32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06F9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BFB0E"/>
  <w15:docId w15:val="{9B92F3D9-7663-4899-A0EC-7619C37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5CAC"/>
    <w:pPr>
      <w:spacing w:before="480" w:after="48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CA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customStyle="1" w:styleId="AufzhlungPunkte">
    <w:name w:val="Aufzählung Punkte"/>
    <w:basedOn w:val="Standard"/>
    <w:link w:val="AufzhlungPunkteZchn"/>
    <w:qFormat/>
    <w:rsid w:val="000F7D9B"/>
    <w:pPr>
      <w:numPr>
        <w:numId w:val="21"/>
      </w:numPr>
      <w:pBdr>
        <w:top w:val="nil"/>
        <w:left w:val="nil"/>
        <w:bottom w:val="nil"/>
        <w:right w:val="nil"/>
        <w:between w:val="nil"/>
        <w:bar w:val="nil"/>
      </w:pBdr>
      <w:spacing w:before="0" w:after="200"/>
    </w:pPr>
    <w:rPr>
      <w:rFonts w:eastAsia="Calibri"/>
      <w:color w:val="000000"/>
      <w:szCs w:val="24"/>
      <w:u w:color="000000"/>
      <w:bdr w:val="nil"/>
    </w:rPr>
  </w:style>
  <w:style w:type="character" w:customStyle="1" w:styleId="AufzhlungPunkteZchn">
    <w:name w:val="Aufzählung Punkte Zchn"/>
    <w:basedOn w:val="Absatz-Standardschriftart"/>
    <w:link w:val="AufzhlungPunkte"/>
    <w:rsid w:val="000F7D9B"/>
    <w:rPr>
      <w:rFonts w:ascii="Arial" w:eastAsia="Calibri" w:hAnsi="Arial" w:cs="Arial"/>
      <w:color w:val="000000"/>
      <w:sz w:val="24"/>
      <w:szCs w:val="24"/>
      <w:u w:color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b-web.de/material/medien/10-dinge-die-sie-bei-prasentationen-dringend-beachten-soll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b-web.d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learnforever.at" TargetMode="External"/><Relationship Id="rId1" Type="http://schemas.openxmlformats.org/officeDocument/2006/relationships/hyperlink" Target="https://wb-web.de/material/medien/10-dinge-die-sie-bei-prasentationen-dringend-beachten-sollten.html" TargetMode="External"/><Relationship Id="rId6" Type="http://schemas.openxmlformats.org/officeDocument/2006/relationships/hyperlink" Target="http://creativecommons.org/licenses/by-sa/3.0/de/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wb-web.de/material/medien/10-dinge-die-sie-bei-prasentationen-dringend-beachten-sollt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Infoblatt%2003.0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Tabelle1!$B$1:$B$2</c:f>
              <c:strCache>
                <c:ptCount val="2"/>
                <c:pt idx="0">
                  <c:v>Anzahl</c:v>
                </c:pt>
                <c:pt idx="1">
                  <c:v>Teilnehmende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Tabelle1!$A$3:$A$8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Tabelle1!$B$3:$B$8</c:f>
              <c:numCache>
                <c:formatCode>General</c:formatCode>
                <c:ptCount val="6"/>
                <c:pt idx="0">
                  <c:v>76</c:v>
                </c:pt>
                <c:pt idx="1">
                  <c:v>82</c:v>
                </c:pt>
                <c:pt idx="2">
                  <c:v>105</c:v>
                </c:pt>
                <c:pt idx="3">
                  <c:v>119</c:v>
                </c:pt>
                <c:pt idx="4">
                  <c:v>124</c:v>
                </c:pt>
                <c:pt idx="5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A-49E7-AEE8-25BDCD500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7525560"/>
        <c:axId val="617524248"/>
      </c:barChart>
      <c:catAx>
        <c:axId val="61752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17524248"/>
        <c:crosses val="autoZero"/>
        <c:auto val="1"/>
        <c:lblAlgn val="ctr"/>
        <c:lblOffset val="100"/>
        <c:noMultiLvlLbl val="0"/>
      </c:catAx>
      <c:valAx>
        <c:axId val="61752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1752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EEDC-4722-40D0-9709-E936390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Infoblatt 03.08.dotx</Template>
  <TotalTime>0</TotalTime>
  <Pages>5</Pages>
  <Words>899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Infoblatt: Das sollten Sie in Präsentationen beachten</vt:lpstr>
    </vt:vector>
  </TitlesOfParts>
  <Company>Hewlett-Packard Company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Infoblatt: Das sollten Sie bei Präsentationen beachten</dc:title>
  <dc:creator>Dipl.-Ing.in (FH) Eva Brenner MSc/akzente</dc:creator>
  <cp:lastModifiedBy>Eva Brenner - akzente</cp:lastModifiedBy>
  <cp:revision>112</cp:revision>
  <cp:lastPrinted>2019-08-20T13:21:00Z</cp:lastPrinted>
  <dcterms:created xsi:type="dcterms:W3CDTF">2022-04-04T07:08:00Z</dcterms:created>
  <dcterms:modified xsi:type="dcterms:W3CDTF">2022-04-04T09:04:00Z</dcterms:modified>
</cp:coreProperties>
</file>